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001A7640"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4BD0E05D"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B3356B">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1"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3728CB60"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94720A">
        <w:rPr>
          <w:rFonts w:ascii="Calibri" w:hAnsi="Calibri" w:cs="Calibri"/>
          <w:szCs w:val="24"/>
        </w:rPr>
        <w:t>Christine Sorensen.</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44E86374"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353711">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353711">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353711">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53EF57E0" w:rsidR="00C60230" w:rsidRPr="00C60230" w:rsidRDefault="0094720A" w:rsidP="00C60230">
      <w:pPr>
        <w:pStyle w:val="MSUES"/>
        <w:spacing w:line="480" w:lineRule="auto"/>
        <w:rPr>
          <w:rFonts w:asciiTheme="minorHAnsi" w:hAnsiTheme="minorHAnsi"/>
          <w:szCs w:val="24"/>
        </w:rPr>
      </w:pPr>
      <w:r>
        <w:rPr>
          <w:rFonts w:asciiTheme="minorHAnsi" w:hAnsiTheme="minorHAnsi"/>
          <w:szCs w:val="24"/>
        </w:rPr>
        <w:t>Christine Sorensen</w:t>
      </w:r>
      <w:r w:rsidR="00C60230" w:rsidRPr="00C60230">
        <w:rPr>
          <w:rFonts w:asciiTheme="minorHAnsi" w:hAnsiTheme="minorHAnsi"/>
          <w:szCs w:val="24"/>
        </w:rPr>
        <w:t xml:space="preserve">, </w:t>
      </w:r>
      <w:r>
        <w:rPr>
          <w:rFonts w:asciiTheme="minorHAnsi" w:hAnsiTheme="minorHAnsi"/>
          <w:szCs w:val="24"/>
        </w:rPr>
        <w:t>Rural Development Coordina</w:t>
      </w:r>
      <w:bookmarkStart w:id="0" w:name="_GoBack"/>
      <w:bookmarkEnd w:id="0"/>
      <w:r>
        <w:rPr>
          <w:rFonts w:asciiTheme="minorHAnsi" w:hAnsiTheme="minorHAnsi"/>
          <w:szCs w:val="24"/>
        </w:rPr>
        <w:t>tor</w:t>
      </w:r>
      <w:r w:rsidR="00C60230">
        <w:rPr>
          <w:rFonts w:asciiTheme="minorHAnsi" w:hAnsiTheme="minorHAnsi"/>
          <w:szCs w:val="24"/>
        </w:rPr>
        <w:t xml:space="preserve"> at </w:t>
      </w:r>
      <w:hyperlink r:id="rId12" w:history="1">
        <w:r w:rsidRPr="002B04BC">
          <w:rPr>
            <w:rStyle w:val="Hyperlink"/>
            <w:rFonts w:asciiTheme="minorHAnsi" w:hAnsiTheme="minorHAnsi"/>
            <w:szCs w:val="24"/>
          </w:rPr>
          <w:t>christine.sorensen@sd.usda.gov</w:t>
        </w:r>
      </w:hyperlink>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605</w:t>
      </w:r>
      <w:r w:rsidR="00C60230" w:rsidRPr="00C60230">
        <w:rPr>
          <w:rFonts w:asciiTheme="minorHAnsi" w:hAnsiTheme="minorHAnsi"/>
          <w:szCs w:val="24"/>
        </w:rPr>
        <w:t>) 2</w:t>
      </w:r>
      <w:r>
        <w:rPr>
          <w:rFonts w:asciiTheme="minorHAnsi" w:hAnsiTheme="minorHAnsi"/>
          <w:szCs w:val="24"/>
        </w:rPr>
        <w:t>24</w:t>
      </w:r>
      <w:r w:rsidR="00C60230" w:rsidRPr="00C60230">
        <w:rPr>
          <w:rFonts w:asciiTheme="minorHAnsi" w:hAnsiTheme="minorHAnsi"/>
          <w:szCs w:val="24"/>
        </w:rPr>
        <w:t>-</w:t>
      </w:r>
      <w:r>
        <w:rPr>
          <w:rFonts w:asciiTheme="minorHAnsi" w:hAnsiTheme="minorHAnsi"/>
          <w:szCs w:val="24"/>
        </w:rPr>
        <w:t>8870</w:t>
      </w:r>
    </w:p>
    <w:p w14:paraId="08923255" w14:textId="05468C3A" w:rsidR="00294F43" w:rsidRPr="00322776" w:rsidRDefault="0094720A" w:rsidP="00C60230">
      <w:pPr>
        <w:pStyle w:val="MSUES"/>
        <w:spacing w:line="480" w:lineRule="auto"/>
        <w:rPr>
          <w:color w:val="FF0000"/>
          <w:sz w:val="23"/>
          <w:szCs w:val="23"/>
        </w:rPr>
      </w:pPr>
      <w:r>
        <w:rPr>
          <w:rFonts w:asciiTheme="minorHAnsi" w:hAnsiTheme="minorHAnsi"/>
          <w:szCs w:val="24"/>
        </w:rPr>
        <w:t>David P. Olson</w:t>
      </w:r>
      <w:r w:rsidR="00C60230" w:rsidRPr="00C60230">
        <w:rPr>
          <w:rFonts w:asciiTheme="minorHAnsi" w:hAnsiTheme="minorHAnsi"/>
          <w:szCs w:val="24"/>
        </w:rPr>
        <w:t xml:space="preserve">, Ph.D. </w:t>
      </w:r>
      <w:r>
        <w:rPr>
          <w:rFonts w:asciiTheme="minorHAnsi" w:hAnsiTheme="minorHAnsi"/>
          <w:szCs w:val="24"/>
        </w:rPr>
        <w:t>Development Program Director</w:t>
      </w:r>
      <w:r w:rsidR="00C60230" w:rsidRPr="00C60230">
        <w:rPr>
          <w:rFonts w:asciiTheme="minorHAnsi" w:hAnsiTheme="minorHAnsi"/>
          <w:szCs w:val="24"/>
        </w:rPr>
        <w:t xml:space="preserve"> </w:t>
      </w:r>
      <w:r w:rsidR="00C60230">
        <w:rPr>
          <w:rFonts w:asciiTheme="minorHAnsi" w:hAnsiTheme="minorHAnsi"/>
          <w:szCs w:val="24"/>
        </w:rPr>
        <w:t xml:space="preserve">at </w:t>
      </w:r>
      <w:hyperlink r:id="rId13" w:history="1">
        <w:r w:rsidRPr="002B04BC">
          <w:rPr>
            <w:rStyle w:val="Hyperlink"/>
            <w:rFonts w:asciiTheme="minorHAnsi" w:hAnsiTheme="minorHAnsi"/>
            <w:szCs w:val="24"/>
          </w:rPr>
          <w:t>David.Olson@sdstate.edu</w:t>
        </w:r>
      </w:hyperlink>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605</w:t>
      </w:r>
      <w:r w:rsidR="00C60230" w:rsidRPr="00C60230">
        <w:rPr>
          <w:rFonts w:asciiTheme="minorHAnsi" w:hAnsiTheme="minorHAnsi"/>
          <w:szCs w:val="24"/>
        </w:rPr>
        <w:t xml:space="preserve">) </w:t>
      </w:r>
      <w:r>
        <w:rPr>
          <w:rFonts w:asciiTheme="minorHAnsi" w:hAnsiTheme="minorHAnsi"/>
          <w:szCs w:val="24"/>
        </w:rPr>
        <w:t>688</w:t>
      </w:r>
      <w:r w:rsidR="00C60230" w:rsidRPr="00C60230">
        <w:rPr>
          <w:rFonts w:asciiTheme="minorHAnsi" w:hAnsiTheme="minorHAnsi"/>
          <w:szCs w:val="24"/>
        </w:rPr>
        <w:t>-</w:t>
      </w:r>
      <w:r>
        <w:rPr>
          <w:rFonts w:asciiTheme="minorHAnsi" w:hAnsiTheme="minorHAnsi"/>
          <w:szCs w:val="24"/>
        </w:rPr>
        <w:t>56</w:t>
      </w:r>
      <w:r w:rsidR="00C60230" w:rsidRPr="00C60230">
        <w:rPr>
          <w:rFonts w:asciiTheme="minorHAnsi" w:hAnsiTheme="minorHAnsi"/>
          <w:szCs w:val="24"/>
        </w:rPr>
        <w:t>1</w:t>
      </w:r>
      <w:r>
        <w:rPr>
          <w:rFonts w:asciiTheme="minorHAnsi" w:hAnsiTheme="minorHAnsi"/>
          <w:szCs w:val="24"/>
        </w:rPr>
        <w:t>4</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C9D1B" id="Text Box 4" o:spid="_x0000_s1029"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BLgIAAFg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EzSjTr&#10;UKInMXjyDgaSBXZ643IMejQY5gc8RpVjpc48AP/uiIZty3Qj7qyFvhWswuym4WZydXXEcQGk7D9B&#10;hc+wvYcINNS2C9QhGQTRUaXjRZmQCsfDxXI5TdM5JRx9i1W6ypZRu4Tl5+vGOv9BQEfCpqAWpY/w&#10;7PDgfEiH5eeQ8JoDJaudVCoatim3ypIDwzbZxS9W8CJMadIX9GY+m48M/BUijd+fIDrpsd+V7Aq6&#10;ugSxPPD2XlexGz2TatxjykqfiAzcjSz6oRyiYm/P+pRQHZFZC2N74zjipgX7k5IeW7ug7seeWUGJ&#10;+qhRnZtploVZiEY2X87QsNee8trDNEeognpKxu3Wj/OzN1Y2Lb409oOGO1S0lpHrIP2Y1Sl9bN8o&#10;wWnUwnxc2zHq1w9h8wwAAP//AwBQSwMEFAAGAAgAAAAhAL+5U+rhAAAACwEAAA8AAABkcnMvZG93&#10;bnJldi54bWxMj81OwzAQhO9IvIO1SFxQa4e0oYQ4FUIC0RsUBFc33iYR/gm2m4a3Z3uC245mNPtN&#10;tZ6sYSOG2HsnIZsLYOgar3vXSnh/e5ytgMWknFbGO5TwgxHW9flZpUrtj+4Vx21qGZW4WCoJXUpD&#10;yXlsOrQqzv2Ajry9D1YlkqHlOqgjlVvDr4UouFW9ow+dGvChw+Zre7ASVovn8TNu8pePptib23R1&#10;Mz59BykvL6b7O2AJp/QXhhM+oUNNTDt/cDoyI2G2WFJSQp5nwE6+KDLasqMrE8sceF3x/xvqXwAA&#10;AP//AwBQSwECLQAUAAYACAAAACEAtoM4kv4AAADhAQAAEwAAAAAAAAAAAAAAAAAAAAAAW0NvbnRl&#10;bnRfVHlwZXNdLnhtbFBLAQItABQABgAIAAAAIQA4/SH/1gAAAJQBAAALAAAAAAAAAAAAAAAAAC8B&#10;AABfcmVscy8ucmVsc1BLAQItABQABgAIAAAAIQCMNTdBLgIAAFgEAAAOAAAAAAAAAAAAAAAAAC4C&#10;AABkcnMvZTJvRG9jLnhtbFBLAQItABQABgAIAAAAIQC/uVPq4QAAAAsBAAAPAAAAAAAAAAAAAAAA&#10;AIgEAABkcnMvZG93bnJldi54bWxQSwUGAAAAAAQABADzAAAAlgU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77777777"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6" w:history="1">
        <w:r w:rsidR="00011610" w:rsidRPr="00E8213B">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7"/>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B701A" w14:textId="77777777" w:rsidR="00E941E3" w:rsidRDefault="00E941E3" w:rsidP="003C720F">
      <w:pPr>
        <w:spacing w:after="0" w:line="240" w:lineRule="auto"/>
      </w:pPr>
      <w:r>
        <w:separator/>
      </w:r>
    </w:p>
  </w:endnote>
  <w:endnote w:type="continuationSeparator" w:id="0">
    <w:p w14:paraId="56730DF3" w14:textId="77777777" w:rsidR="00E941E3" w:rsidRDefault="00E941E3"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E25F5D">
      <w:rPr>
        <w:noProof/>
      </w:rPr>
      <w:t>4</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E0B6E" w14:textId="77777777" w:rsidR="00E941E3" w:rsidRDefault="00E941E3" w:rsidP="003C720F">
      <w:pPr>
        <w:spacing w:after="0" w:line="240" w:lineRule="auto"/>
      </w:pPr>
      <w:r>
        <w:separator/>
      </w:r>
    </w:p>
  </w:footnote>
  <w:footnote w:type="continuationSeparator" w:id="0">
    <w:p w14:paraId="0DFC76DF" w14:textId="77777777" w:rsidR="00E941E3" w:rsidRDefault="00E941E3"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25F5E"/>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53711"/>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20A"/>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3356B"/>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25F5D"/>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941E3"/>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Olson@sd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sorensen@sd.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dc.msstate.edu/set/definitionrur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c.msstate.edu/set/high_quality_ed_plan.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rdc.msstate.edu/set/files/set_overview.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5A54-4FD1-477A-AEBE-9B3C47D9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16488</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2015-03-20T14:46:00Z</dcterms:created>
  <dcterms:modified xsi:type="dcterms:W3CDTF">2015-03-20T14:46:00Z</dcterms:modified>
</cp:coreProperties>
</file>